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2115" w14:textId="76A9E364" w:rsidR="00C62E6B" w:rsidRPr="002915D4" w:rsidRDefault="002915D4">
      <w:pPr>
        <w:rPr>
          <w:rFonts w:ascii="Calibri" w:hAnsi="Calibri" w:cs="Calibri"/>
        </w:rPr>
      </w:pPr>
      <w:r w:rsidRPr="002915D4">
        <w:rPr>
          <w:rFonts w:ascii="Calibri" w:hAnsi="Calibri" w:cs="Calibri"/>
        </w:rPr>
        <w:t xml:space="preserve">Projet Communiqué de Presse </w:t>
      </w:r>
    </w:p>
    <w:p w14:paraId="7F8FAA8B" w14:textId="77777777" w:rsidR="002915D4" w:rsidRDefault="002915D4"/>
    <w:p w14:paraId="0AAB1D9B" w14:textId="77777777" w:rsidR="002915D4" w:rsidRDefault="002915D4"/>
    <w:p w14:paraId="492B8C2B" w14:textId="77777777" w:rsidR="002915D4" w:rsidRPr="002915D4" w:rsidRDefault="002915D4" w:rsidP="002915D4">
      <w:pPr>
        <w:pStyle w:val="Heading2"/>
        <w:rPr>
          <w:rFonts w:ascii="Calibri" w:hAnsi="Calibri" w:cs="Calibri"/>
          <w:color w:val="auto"/>
          <w:sz w:val="22"/>
          <w:szCs w:val="22"/>
        </w:rPr>
      </w:pPr>
      <w:r w:rsidRPr="002915D4">
        <w:rPr>
          <w:rFonts w:ascii="Calibri" w:hAnsi="Calibri" w:cs="Calibri"/>
          <w:color w:val="auto"/>
          <w:sz w:val="22"/>
          <w:szCs w:val="22"/>
        </w:rPr>
        <w:t>A l’issue de sa conférence annuelle, le 02 décembre 2025, consacrée au bilan et perspectives</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du</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marché</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des composants</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électroniques</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en</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France,</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le</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Syndicat Professionnel</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de</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la</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Distribution</w:t>
      </w:r>
      <w:r w:rsidRPr="002915D4">
        <w:rPr>
          <w:rFonts w:ascii="Calibri" w:hAnsi="Calibri" w:cs="Calibri"/>
          <w:color w:val="auto"/>
          <w:spacing w:val="40"/>
          <w:sz w:val="22"/>
          <w:szCs w:val="22"/>
        </w:rPr>
        <w:t xml:space="preserve"> </w:t>
      </w:r>
      <w:r w:rsidRPr="002915D4">
        <w:rPr>
          <w:rFonts w:ascii="Calibri" w:hAnsi="Calibri" w:cs="Calibri"/>
          <w:color w:val="auto"/>
          <w:sz w:val="22"/>
          <w:szCs w:val="22"/>
        </w:rPr>
        <w:t>en Electronique Industrielle (SPDEI) a remis ses Trophées annuels récompensant les fabricants qui se sont distingués par la qualité de leur support et leur collaboration avec la profession.</w:t>
      </w:r>
    </w:p>
    <w:p w14:paraId="26AD27D6" w14:textId="77777777" w:rsidR="002915D4" w:rsidRPr="002915D4" w:rsidRDefault="002915D4" w:rsidP="002915D4">
      <w:pPr>
        <w:pStyle w:val="BodyText"/>
        <w:spacing w:before="1"/>
        <w:rPr>
          <w:rFonts w:ascii="Calibri" w:hAnsi="Calibri" w:cs="Calibri"/>
          <w:b/>
          <w:sz w:val="22"/>
          <w:szCs w:val="22"/>
        </w:rPr>
      </w:pPr>
    </w:p>
    <w:p w14:paraId="5BDE0AE4" w14:textId="17D71182" w:rsidR="002915D4" w:rsidRPr="002915D4" w:rsidRDefault="002915D4" w:rsidP="002915D4">
      <w:pPr>
        <w:pStyle w:val="BodyText"/>
        <w:ind w:right="137"/>
        <w:jc w:val="both"/>
        <w:rPr>
          <w:rFonts w:ascii="Calibri" w:hAnsi="Calibri" w:cs="Calibri"/>
          <w:sz w:val="22"/>
          <w:szCs w:val="22"/>
        </w:rPr>
      </w:pPr>
      <w:r w:rsidRPr="002915D4">
        <w:rPr>
          <w:rFonts w:ascii="Calibri" w:hAnsi="Calibri" w:cs="Calibri"/>
          <w:sz w:val="22"/>
          <w:szCs w:val="22"/>
        </w:rPr>
        <w:t>Les lauréats ont été récompensés dans les catégories Semi-conducteurs Digital, Semi-conducteurs analogiques, Wireless et Capteurs, Affichage et Embedded, Passif,</w:t>
      </w:r>
      <w:r w:rsidRPr="002915D4">
        <w:rPr>
          <w:rFonts w:ascii="Calibri" w:hAnsi="Calibri" w:cs="Calibri"/>
          <w:spacing w:val="80"/>
          <w:sz w:val="22"/>
          <w:szCs w:val="22"/>
        </w:rPr>
        <w:t xml:space="preserve"> </w:t>
      </w:r>
      <w:r w:rsidRPr="002915D4">
        <w:rPr>
          <w:rFonts w:ascii="Calibri" w:hAnsi="Calibri" w:cs="Calibri"/>
          <w:sz w:val="22"/>
          <w:szCs w:val="22"/>
        </w:rPr>
        <w:t>Connectique</w:t>
      </w:r>
      <w:r w:rsidRPr="002915D4">
        <w:rPr>
          <w:rFonts w:ascii="Calibri" w:hAnsi="Calibri" w:cs="Calibri"/>
          <w:spacing w:val="80"/>
          <w:sz w:val="22"/>
          <w:szCs w:val="22"/>
        </w:rPr>
        <w:t xml:space="preserve"> Câbles et Accessoires</w:t>
      </w:r>
      <w:r w:rsidRPr="002915D4">
        <w:rPr>
          <w:rFonts w:ascii="Calibri" w:hAnsi="Calibri" w:cs="Calibri"/>
          <w:sz w:val="22"/>
          <w:szCs w:val="22"/>
        </w:rPr>
        <w:t>,</w:t>
      </w:r>
      <w:r w:rsidRPr="002915D4">
        <w:rPr>
          <w:rFonts w:ascii="Calibri" w:hAnsi="Calibri" w:cs="Calibri"/>
          <w:spacing w:val="80"/>
          <w:sz w:val="22"/>
          <w:szCs w:val="22"/>
        </w:rPr>
        <w:t xml:space="preserve"> Electromécanique</w:t>
      </w:r>
      <w:r w:rsidRPr="002915D4">
        <w:rPr>
          <w:rFonts w:ascii="Calibri" w:hAnsi="Calibri" w:cs="Calibri"/>
          <w:sz w:val="22"/>
          <w:szCs w:val="22"/>
        </w:rPr>
        <w:t>,</w:t>
      </w:r>
      <w:r w:rsidRPr="002915D4">
        <w:rPr>
          <w:rFonts w:ascii="Calibri" w:hAnsi="Calibri" w:cs="Calibri"/>
          <w:spacing w:val="80"/>
          <w:sz w:val="22"/>
          <w:szCs w:val="22"/>
        </w:rPr>
        <w:t xml:space="preserve"> Conversion</w:t>
      </w:r>
      <w:r>
        <w:rPr>
          <w:rFonts w:ascii="Calibri" w:hAnsi="Calibri" w:cs="Calibri"/>
          <w:spacing w:val="80"/>
          <w:sz w:val="22"/>
          <w:szCs w:val="22"/>
        </w:rPr>
        <w:t xml:space="preserve"> </w:t>
      </w:r>
      <w:r w:rsidRPr="002915D4">
        <w:rPr>
          <w:rFonts w:ascii="Calibri" w:hAnsi="Calibri" w:cs="Calibri"/>
          <w:sz w:val="22"/>
          <w:szCs w:val="22"/>
        </w:rPr>
        <w:t xml:space="preserve">d’Energie. </w:t>
      </w:r>
    </w:p>
    <w:p w14:paraId="6AD97CC7" w14:textId="77777777" w:rsidR="002915D4" w:rsidRDefault="002915D4" w:rsidP="002915D4">
      <w:pPr>
        <w:pStyle w:val="BodyText"/>
        <w:ind w:right="137"/>
        <w:jc w:val="both"/>
        <w:rPr>
          <w:rFonts w:ascii="Calibri" w:hAnsi="Calibri" w:cs="Calibri"/>
          <w:sz w:val="22"/>
          <w:szCs w:val="22"/>
          <w:u w:val="single" w:color="868686"/>
        </w:rPr>
      </w:pPr>
    </w:p>
    <w:p w14:paraId="7054B7F9" w14:textId="30C75A21" w:rsidR="002915D4" w:rsidRPr="002915D4" w:rsidRDefault="002915D4" w:rsidP="002915D4">
      <w:pPr>
        <w:pStyle w:val="BodyText"/>
        <w:ind w:right="137"/>
        <w:jc w:val="both"/>
        <w:rPr>
          <w:rFonts w:ascii="Calibri" w:hAnsi="Calibri" w:cs="Calibri"/>
          <w:sz w:val="22"/>
          <w:szCs w:val="22"/>
        </w:rPr>
      </w:pPr>
      <w:r w:rsidRPr="002915D4">
        <w:rPr>
          <w:rFonts w:ascii="Calibri" w:hAnsi="Calibri" w:cs="Calibri"/>
          <w:sz w:val="22"/>
          <w:szCs w:val="22"/>
          <w:u w:val="single" w:color="868686"/>
        </w:rPr>
        <w:t>La liste des lauréats figure en annexe</w:t>
      </w:r>
      <w:r w:rsidRPr="002915D4">
        <w:rPr>
          <w:rFonts w:ascii="Calibri" w:hAnsi="Calibri" w:cs="Calibri"/>
          <w:sz w:val="22"/>
          <w:szCs w:val="22"/>
        </w:rPr>
        <w:t>.</w:t>
      </w:r>
    </w:p>
    <w:p w14:paraId="7D22C1EA" w14:textId="77777777" w:rsidR="002915D4" w:rsidRPr="002915D4" w:rsidRDefault="002915D4" w:rsidP="002915D4">
      <w:pPr>
        <w:pStyle w:val="BodyText"/>
        <w:spacing w:before="1"/>
        <w:rPr>
          <w:rFonts w:asciiTheme="minorHAnsi" w:hAnsiTheme="minorHAnsi" w:cstheme="minorHAnsi"/>
          <w:sz w:val="22"/>
          <w:szCs w:val="22"/>
        </w:rPr>
      </w:pPr>
    </w:p>
    <w:p w14:paraId="397634F4" w14:textId="77777777" w:rsidR="002915D4" w:rsidRPr="002915D4" w:rsidRDefault="002915D4" w:rsidP="002915D4">
      <w:pPr>
        <w:pStyle w:val="BodyText"/>
        <w:ind w:right="137"/>
        <w:jc w:val="both"/>
        <w:rPr>
          <w:rFonts w:ascii="Calibri" w:hAnsi="Calibri" w:cs="Calibri"/>
          <w:sz w:val="22"/>
          <w:szCs w:val="22"/>
        </w:rPr>
      </w:pPr>
      <w:r w:rsidRPr="002915D4">
        <w:rPr>
          <w:rFonts w:ascii="Calibri" w:hAnsi="Calibri" w:cs="Calibri"/>
          <w:sz w:val="22"/>
          <w:szCs w:val="22"/>
        </w:rPr>
        <w:t>La</w:t>
      </w:r>
      <w:r w:rsidRPr="002915D4">
        <w:rPr>
          <w:rFonts w:ascii="Calibri" w:hAnsi="Calibri" w:cs="Calibri"/>
          <w:spacing w:val="40"/>
          <w:sz w:val="22"/>
          <w:szCs w:val="22"/>
        </w:rPr>
        <w:t xml:space="preserve"> </w:t>
      </w:r>
      <w:r w:rsidRPr="002915D4">
        <w:rPr>
          <w:rFonts w:ascii="Calibri" w:hAnsi="Calibri" w:cs="Calibri"/>
          <w:sz w:val="22"/>
          <w:szCs w:val="22"/>
        </w:rPr>
        <w:t>Conférence</w:t>
      </w:r>
      <w:r w:rsidRPr="002915D4">
        <w:rPr>
          <w:rFonts w:ascii="Calibri" w:hAnsi="Calibri" w:cs="Calibri"/>
          <w:spacing w:val="40"/>
          <w:sz w:val="22"/>
          <w:szCs w:val="22"/>
        </w:rPr>
        <w:t xml:space="preserve"> </w:t>
      </w:r>
      <w:r w:rsidRPr="002915D4">
        <w:rPr>
          <w:rFonts w:ascii="Calibri" w:hAnsi="Calibri" w:cs="Calibri"/>
          <w:sz w:val="22"/>
          <w:szCs w:val="22"/>
        </w:rPr>
        <w:t>qui</w:t>
      </w:r>
      <w:r w:rsidRPr="002915D4">
        <w:rPr>
          <w:rFonts w:ascii="Calibri" w:hAnsi="Calibri" w:cs="Calibri"/>
          <w:spacing w:val="40"/>
          <w:sz w:val="22"/>
          <w:szCs w:val="22"/>
        </w:rPr>
        <w:t xml:space="preserve"> </w:t>
      </w:r>
      <w:r w:rsidRPr="002915D4">
        <w:rPr>
          <w:rFonts w:ascii="Calibri" w:hAnsi="Calibri" w:cs="Calibri"/>
          <w:sz w:val="22"/>
          <w:szCs w:val="22"/>
        </w:rPr>
        <w:t>s’est</w:t>
      </w:r>
      <w:r w:rsidRPr="002915D4">
        <w:rPr>
          <w:rFonts w:ascii="Calibri" w:hAnsi="Calibri" w:cs="Calibri"/>
          <w:spacing w:val="40"/>
          <w:sz w:val="22"/>
          <w:szCs w:val="22"/>
        </w:rPr>
        <w:t xml:space="preserve"> </w:t>
      </w:r>
      <w:r w:rsidRPr="002915D4">
        <w:rPr>
          <w:rFonts w:ascii="Calibri" w:hAnsi="Calibri" w:cs="Calibri"/>
          <w:sz w:val="22"/>
          <w:szCs w:val="22"/>
        </w:rPr>
        <w:t>tenue</w:t>
      </w:r>
      <w:r w:rsidRPr="002915D4">
        <w:rPr>
          <w:rFonts w:ascii="Calibri" w:hAnsi="Calibri" w:cs="Calibri"/>
          <w:spacing w:val="40"/>
          <w:sz w:val="22"/>
          <w:szCs w:val="22"/>
        </w:rPr>
        <w:t xml:space="preserve"> </w:t>
      </w:r>
      <w:r w:rsidRPr="002915D4">
        <w:rPr>
          <w:rFonts w:ascii="Calibri" w:hAnsi="Calibri" w:cs="Calibri"/>
          <w:sz w:val="22"/>
          <w:szCs w:val="22"/>
        </w:rPr>
        <w:t>devant</w:t>
      </w:r>
      <w:r w:rsidRPr="002915D4">
        <w:rPr>
          <w:rFonts w:ascii="Calibri" w:hAnsi="Calibri" w:cs="Calibri"/>
          <w:spacing w:val="40"/>
          <w:sz w:val="22"/>
          <w:szCs w:val="22"/>
        </w:rPr>
        <w:t xml:space="preserve"> plus d’</w:t>
      </w:r>
      <w:r w:rsidRPr="002915D4">
        <w:rPr>
          <w:rFonts w:ascii="Calibri" w:hAnsi="Calibri" w:cs="Calibri"/>
          <w:sz w:val="22"/>
          <w:szCs w:val="22"/>
        </w:rPr>
        <w:t>une</w:t>
      </w:r>
      <w:r w:rsidRPr="002915D4">
        <w:rPr>
          <w:rFonts w:ascii="Calibri" w:hAnsi="Calibri" w:cs="Calibri"/>
          <w:spacing w:val="40"/>
          <w:sz w:val="22"/>
          <w:szCs w:val="22"/>
        </w:rPr>
        <w:t xml:space="preserve"> </w:t>
      </w:r>
      <w:r w:rsidRPr="002915D4">
        <w:rPr>
          <w:rFonts w:ascii="Calibri" w:hAnsi="Calibri" w:cs="Calibri"/>
          <w:sz w:val="22"/>
          <w:szCs w:val="22"/>
        </w:rPr>
        <w:t>centaine</w:t>
      </w:r>
      <w:r w:rsidRPr="002915D4">
        <w:rPr>
          <w:rFonts w:ascii="Calibri" w:hAnsi="Calibri" w:cs="Calibri"/>
          <w:spacing w:val="40"/>
          <w:sz w:val="22"/>
          <w:szCs w:val="22"/>
        </w:rPr>
        <w:t xml:space="preserve"> </w:t>
      </w:r>
      <w:r w:rsidRPr="002915D4">
        <w:rPr>
          <w:rFonts w:ascii="Calibri" w:hAnsi="Calibri" w:cs="Calibri"/>
          <w:sz w:val="22"/>
          <w:szCs w:val="22"/>
        </w:rPr>
        <w:t>de</w:t>
      </w:r>
      <w:r w:rsidRPr="002915D4">
        <w:rPr>
          <w:rFonts w:ascii="Calibri" w:hAnsi="Calibri" w:cs="Calibri"/>
          <w:spacing w:val="40"/>
          <w:sz w:val="22"/>
          <w:szCs w:val="22"/>
        </w:rPr>
        <w:t xml:space="preserve"> </w:t>
      </w:r>
      <w:r w:rsidRPr="002915D4">
        <w:rPr>
          <w:rFonts w:ascii="Calibri" w:hAnsi="Calibri" w:cs="Calibri"/>
          <w:sz w:val="22"/>
          <w:szCs w:val="22"/>
        </w:rPr>
        <w:t>participants,</w:t>
      </w:r>
      <w:r w:rsidRPr="002915D4">
        <w:rPr>
          <w:rFonts w:ascii="Calibri" w:hAnsi="Calibri" w:cs="Calibri"/>
          <w:spacing w:val="40"/>
          <w:sz w:val="22"/>
          <w:szCs w:val="22"/>
        </w:rPr>
        <w:t xml:space="preserve"> </w:t>
      </w:r>
      <w:r w:rsidRPr="002915D4">
        <w:rPr>
          <w:rFonts w:ascii="Calibri" w:hAnsi="Calibri" w:cs="Calibri"/>
          <w:sz w:val="22"/>
          <w:szCs w:val="22"/>
        </w:rPr>
        <w:t>fabricants, distributeurs, sous-traitants et institutionnels, a été l’occasion d’échanger sur la situation et les perspectives du secteur de l’électronique.</w:t>
      </w:r>
    </w:p>
    <w:p w14:paraId="06DA53BA" w14:textId="77777777" w:rsidR="002915D4" w:rsidRPr="002915D4" w:rsidRDefault="002915D4" w:rsidP="002915D4">
      <w:pPr>
        <w:pStyle w:val="BodyText"/>
        <w:ind w:left="850" w:right="137"/>
        <w:jc w:val="both"/>
        <w:rPr>
          <w:rFonts w:asciiTheme="minorHAnsi" w:hAnsiTheme="minorHAnsi" w:cstheme="minorHAnsi"/>
          <w:sz w:val="22"/>
          <w:szCs w:val="22"/>
        </w:rPr>
      </w:pPr>
    </w:p>
    <w:p w14:paraId="00CACD4F" w14:textId="77777777" w:rsidR="002915D4" w:rsidRPr="00A40FD3" w:rsidRDefault="002915D4" w:rsidP="002915D4">
      <w:pPr>
        <w:pStyle w:val="ListParagraph"/>
        <w:numPr>
          <w:ilvl w:val="0"/>
          <w:numId w:val="1"/>
        </w:numPr>
        <w:spacing w:line="292" w:lineRule="exact"/>
        <w:ind w:left="360"/>
        <w:contextualSpacing w:val="0"/>
        <w:rPr>
          <w:rFonts w:asciiTheme="minorHAnsi" w:hAnsiTheme="minorHAnsi" w:cstheme="minorHAnsi"/>
          <w:i/>
          <w:w w:val="85"/>
        </w:rPr>
      </w:pPr>
      <w:r w:rsidRPr="00A40FD3">
        <w:rPr>
          <w:rFonts w:asciiTheme="minorHAnsi" w:hAnsiTheme="minorHAnsi" w:cstheme="minorHAnsi"/>
        </w:rPr>
        <w:t xml:space="preserve">Amy </w:t>
      </w:r>
      <w:r w:rsidRPr="00A40FD3">
        <w:rPr>
          <w:rFonts w:asciiTheme="minorHAnsi" w:hAnsiTheme="minorHAnsi" w:cstheme="minorHAnsi"/>
          <w:spacing w:val="-7"/>
        </w:rPr>
        <w:t>Greene</w:t>
      </w:r>
      <w:r w:rsidRPr="00A40FD3">
        <w:rPr>
          <w:rFonts w:asciiTheme="minorHAnsi" w:hAnsiTheme="minorHAnsi" w:cstheme="minorHAnsi"/>
        </w:rPr>
        <w:t>,</w:t>
      </w:r>
      <w:r w:rsidRPr="00A40FD3">
        <w:rPr>
          <w:rFonts w:asciiTheme="minorHAnsi" w:hAnsiTheme="minorHAnsi" w:cstheme="minorHAnsi"/>
          <w:spacing w:val="-7"/>
        </w:rPr>
        <w:t xml:space="preserve"> </w:t>
      </w:r>
      <w:r w:rsidRPr="00A40FD3">
        <w:rPr>
          <w:rFonts w:asciiTheme="minorHAnsi" w:hAnsiTheme="minorHAnsi" w:cstheme="minorHAnsi"/>
        </w:rPr>
        <w:t>Experte</w:t>
      </w:r>
      <w:r w:rsidRPr="00A40FD3">
        <w:rPr>
          <w:rFonts w:asciiTheme="minorHAnsi" w:hAnsiTheme="minorHAnsi" w:cstheme="minorHAnsi"/>
          <w:spacing w:val="-7"/>
        </w:rPr>
        <w:t xml:space="preserve"> </w:t>
      </w:r>
      <w:r w:rsidRPr="00A40FD3">
        <w:rPr>
          <w:rFonts w:asciiTheme="minorHAnsi" w:hAnsiTheme="minorHAnsi" w:cstheme="minorHAnsi"/>
        </w:rPr>
        <w:t>associée</w:t>
      </w:r>
      <w:r w:rsidRPr="00A40FD3">
        <w:rPr>
          <w:rFonts w:asciiTheme="minorHAnsi" w:hAnsiTheme="minorHAnsi" w:cstheme="minorHAnsi"/>
          <w:spacing w:val="-7"/>
        </w:rPr>
        <w:t xml:space="preserve"> </w:t>
      </w:r>
      <w:r w:rsidRPr="00A40FD3">
        <w:rPr>
          <w:rFonts w:asciiTheme="minorHAnsi" w:hAnsiTheme="minorHAnsi" w:cstheme="minorHAnsi"/>
        </w:rPr>
        <w:t>à</w:t>
      </w:r>
      <w:r w:rsidRPr="00A40FD3">
        <w:rPr>
          <w:rFonts w:asciiTheme="minorHAnsi" w:hAnsiTheme="minorHAnsi" w:cstheme="minorHAnsi"/>
          <w:spacing w:val="-7"/>
        </w:rPr>
        <w:t xml:space="preserve"> </w:t>
      </w:r>
      <w:r w:rsidRPr="00A40FD3">
        <w:rPr>
          <w:rFonts w:asciiTheme="minorHAnsi" w:hAnsiTheme="minorHAnsi" w:cstheme="minorHAnsi"/>
        </w:rPr>
        <w:t>l'Institut</w:t>
      </w:r>
      <w:r w:rsidRPr="00A40FD3">
        <w:rPr>
          <w:rFonts w:asciiTheme="minorHAnsi" w:hAnsiTheme="minorHAnsi" w:cstheme="minorHAnsi"/>
          <w:spacing w:val="-7"/>
        </w:rPr>
        <w:t xml:space="preserve"> </w:t>
      </w:r>
      <w:r w:rsidRPr="00A40FD3">
        <w:rPr>
          <w:rFonts w:asciiTheme="minorHAnsi" w:hAnsiTheme="minorHAnsi" w:cstheme="minorHAnsi"/>
        </w:rPr>
        <w:t>Montaigne, Politologue, Spécialiste des Etats-Unis, a exposé son analyse et sa vision sur l</w:t>
      </w:r>
      <w:r w:rsidRPr="00A40FD3">
        <w:rPr>
          <w:rFonts w:asciiTheme="minorHAnsi" w:hAnsiTheme="minorHAnsi" w:cstheme="minorHAnsi"/>
          <w:i/>
          <w:spacing w:val="-11"/>
          <w:w w:val="85"/>
        </w:rPr>
        <w:t>e</w:t>
      </w:r>
      <w:r w:rsidRPr="00A40FD3">
        <w:rPr>
          <w:rFonts w:asciiTheme="minorHAnsi" w:hAnsiTheme="minorHAnsi" w:cstheme="minorHAnsi"/>
          <w:i/>
          <w:spacing w:val="-12"/>
          <w:w w:val="85"/>
        </w:rPr>
        <w:t xml:space="preserve"> </w:t>
      </w:r>
      <w:r w:rsidRPr="00A40FD3">
        <w:rPr>
          <w:rFonts w:asciiTheme="minorHAnsi" w:hAnsiTheme="minorHAnsi" w:cstheme="minorHAnsi"/>
          <w:i/>
          <w:w w:val="85"/>
        </w:rPr>
        <w:t>leadership</w:t>
      </w:r>
      <w:r w:rsidRPr="00A40FD3">
        <w:rPr>
          <w:rFonts w:asciiTheme="minorHAnsi" w:hAnsiTheme="minorHAnsi" w:cstheme="minorHAnsi"/>
          <w:i/>
          <w:spacing w:val="-11"/>
          <w:w w:val="85"/>
        </w:rPr>
        <w:t xml:space="preserve"> </w:t>
      </w:r>
      <w:r w:rsidRPr="00A40FD3">
        <w:rPr>
          <w:rFonts w:asciiTheme="minorHAnsi" w:hAnsiTheme="minorHAnsi" w:cstheme="minorHAnsi"/>
          <w:i/>
          <w:spacing w:val="-2"/>
          <w:w w:val="85"/>
        </w:rPr>
        <w:t>américain façon Trump et</w:t>
      </w:r>
      <w:r w:rsidRPr="00A40FD3">
        <w:rPr>
          <w:rFonts w:asciiTheme="minorHAnsi" w:hAnsiTheme="minorHAnsi" w:cstheme="minorHAnsi"/>
          <w:i/>
          <w:spacing w:val="-12"/>
          <w:w w:val="85"/>
        </w:rPr>
        <w:t xml:space="preserve"> </w:t>
      </w:r>
      <w:r w:rsidRPr="00A40FD3">
        <w:rPr>
          <w:rFonts w:asciiTheme="minorHAnsi" w:hAnsiTheme="minorHAnsi" w:cstheme="minorHAnsi"/>
          <w:i/>
          <w:w w:val="85"/>
        </w:rPr>
        <w:t>les</w:t>
      </w:r>
      <w:r w:rsidRPr="00A40FD3">
        <w:rPr>
          <w:rFonts w:asciiTheme="minorHAnsi" w:hAnsiTheme="minorHAnsi" w:cstheme="minorHAnsi"/>
          <w:i/>
          <w:spacing w:val="-11"/>
          <w:w w:val="85"/>
        </w:rPr>
        <w:t xml:space="preserve"> </w:t>
      </w:r>
      <w:r w:rsidRPr="00A40FD3">
        <w:rPr>
          <w:rFonts w:asciiTheme="minorHAnsi" w:hAnsiTheme="minorHAnsi" w:cstheme="minorHAnsi"/>
          <w:i/>
          <w:w w:val="85"/>
        </w:rPr>
        <w:t>nouveaux</w:t>
      </w:r>
      <w:r w:rsidRPr="00A40FD3">
        <w:rPr>
          <w:rFonts w:asciiTheme="minorHAnsi" w:hAnsiTheme="minorHAnsi" w:cstheme="minorHAnsi"/>
          <w:i/>
          <w:spacing w:val="-11"/>
          <w:w w:val="85"/>
        </w:rPr>
        <w:t xml:space="preserve"> </w:t>
      </w:r>
      <w:r w:rsidRPr="00A40FD3">
        <w:rPr>
          <w:rFonts w:asciiTheme="minorHAnsi" w:hAnsiTheme="minorHAnsi" w:cstheme="minorHAnsi"/>
          <w:i/>
          <w:w w:val="85"/>
        </w:rPr>
        <w:t>rapports</w:t>
      </w:r>
      <w:r w:rsidRPr="00A40FD3">
        <w:rPr>
          <w:rFonts w:asciiTheme="minorHAnsi" w:hAnsiTheme="minorHAnsi" w:cstheme="minorHAnsi"/>
          <w:i/>
          <w:spacing w:val="-12"/>
          <w:w w:val="85"/>
        </w:rPr>
        <w:t xml:space="preserve"> </w:t>
      </w:r>
      <w:r w:rsidRPr="00A40FD3">
        <w:rPr>
          <w:rFonts w:asciiTheme="minorHAnsi" w:hAnsiTheme="minorHAnsi" w:cstheme="minorHAnsi"/>
          <w:i/>
          <w:w w:val="85"/>
        </w:rPr>
        <w:t>de</w:t>
      </w:r>
      <w:r w:rsidRPr="00A40FD3">
        <w:rPr>
          <w:rFonts w:asciiTheme="minorHAnsi" w:hAnsiTheme="minorHAnsi" w:cstheme="minorHAnsi"/>
          <w:i/>
          <w:spacing w:val="-11"/>
          <w:w w:val="85"/>
        </w:rPr>
        <w:t xml:space="preserve"> </w:t>
      </w:r>
      <w:r w:rsidRPr="00A40FD3">
        <w:rPr>
          <w:rFonts w:asciiTheme="minorHAnsi" w:hAnsiTheme="minorHAnsi" w:cstheme="minorHAnsi"/>
          <w:i/>
          <w:w w:val="85"/>
        </w:rPr>
        <w:t>force</w:t>
      </w:r>
      <w:r w:rsidRPr="00A40FD3">
        <w:rPr>
          <w:rFonts w:asciiTheme="minorHAnsi" w:hAnsiTheme="minorHAnsi" w:cstheme="minorHAnsi"/>
          <w:i/>
          <w:spacing w:val="-11"/>
          <w:w w:val="85"/>
        </w:rPr>
        <w:t xml:space="preserve"> </w:t>
      </w:r>
      <w:r w:rsidRPr="00A40FD3">
        <w:rPr>
          <w:rFonts w:asciiTheme="minorHAnsi" w:hAnsiTheme="minorHAnsi" w:cstheme="minorHAnsi"/>
          <w:i/>
          <w:w w:val="85"/>
        </w:rPr>
        <w:t>géopolitiques</w:t>
      </w:r>
    </w:p>
    <w:p w14:paraId="7F32EECA" w14:textId="77777777" w:rsidR="002915D4" w:rsidRPr="00A40FD3" w:rsidRDefault="002915D4" w:rsidP="002915D4">
      <w:pPr>
        <w:spacing w:line="292" w:lineRule="exact"/>
        <w:ind w:firstLine="64"/>
        <w:rPr>
          <w:rFonts w:asciiTheme="minorHAnsi" w:hAnsiTheme="minorHAnsi" w:cstheme="minorHAnsi"/>
        </w:rPr>
      </w:pPr>
    </w:p>
    <w:p w14:paraId="5FFFCA32" w14:textId="77777777" w:rsidR="002915D4" w:rsidRPr="002915D4" w:rsidRDefault="002915D4" w:rsidP="002915D4">
      <w:pPr>
        <w:pStyle w:val="ListParagraph"/>
        <w:numPr>
          <w:ilvl w:val="0"/>
          <w:numId w:val="1"/>
        </w:numPr>
        <w:spacing w:line="332" w:lineRule="exact"/>
        <w:ind w:left="360"/>
        <w:contextualSpacing w:val="0"/>
        <w:rPr>
          <w:rFonts w:asciiTheme="minorHAnsi" w:hAnsiTheme="minorHAnsi" w:cstheme="minorHAnsi"/>
        </w:rPr>
      </w:pPr>
      <w:r w:rsidRPr="00A40FD3">
        <w:rPr>
          <w:rFonts w:asciiTheme="minorHAnsi" w:hAnsiTheme="minorHAnsi" w:cstheme="minorHAnsi"/>
        </w:rPr>
        <w:t>Quillet</w:t>
      </w:r>
      <w:r w:rsidRPr="00A40FD3">
        <w:rPr>
          <w:rFonts w:asciiTheme="minorHAnsi" w:hAnsiTheme="minorHAnsi" w:cstheme="minorHAnsi"/>
          <w:spacing w:val="-5"/>
        </w:rPr>
        <w:t xml:space="preserve"> </w:t>
      </w:r>
      <w:r w:rsidRPr="00A40FD3">
        <w:rPr>
          <w:rFonts w:asciiTheme="minorHAnsi" w:hAnsiTheme="minorHAnsi" w:cstheme="minorHAnsi"/>
        </w:rPr>
        <w:t>GIFAS,</w:t>
      </w:r>
      <w:r w:rsidRPr="00A40FD3">
        <w:rPr>
          <w:rFonts w:asciiTheme="minorHAnsi" w:hAnsiTheme="minorHAnsi" w:cstheme="minorHAnsi"/>
          <w:spacing w:val="-6"/>
        </w:rPr>
        <w:t xml:space="preserve"> </w:t>
      </w:r>
      <w:r w:rsidRPr="00A40FD3">
        <w:rPr>
          <w:rFonts w:asciiTheme="minorHAnsi" w:hAnsiTheme="minorHAnsi" w:cstheme="minorHAnsi"/>
        </w:rPr>
        <w:t>Délégué</w:t>
      </w:r>
      <w:r w:rsidRPr="00A40FD3">
        <w:rPr>
          <w:rFonts w:asciiTheme="minorHAnsi" w:hAnsiTheme="minorHAnsi" w:cstheme="minorHAnsi"/>
          <w:spacing w:val="-5"/>
        </w:rPr>
        <w:t xml:space="preserve"> </w:t>
      </w:r>
      <w:r w:rsidRPr="00A40FD3">
        <w:rPr>
          <w:rFonts w:asciiTheme="minorHAnsi" w:hAnsiTheme="minorHAnsi" w:cstheme="minorHAnsi"/>
        </w:rPr>
        <w:t>Général</w:t>
      </w:r>
      <w:r w:rsidRPr="00A40FD3">
        <w:rPr>
          <w:rFonts w:asciiTheme="minorHAnsi" w:hAnsiTheme="minorHAnsi" w:cstheme="minorHAnsi"/>
          <w:spacing w:val="-6"/>
        </w:rPr>
        <w:t xml:space="preserve"> </w:t>
      </w:r>
      <w:r w:rsidRPr="00A40FD3">
        <w:rPr>
          <w:rFonts w:asciiTheme="minorHAnsi" w:hAnsiTheme="minorHAnsi" w:cstheme="minorHAnsi"/>
          <w:spacing w:val="-2"/>
        </w:rPr>
        <w:t>Adjoint, a présenté les Enjeux</w:t>
      </w:r>
      <w:r w:rsidRPr="00A40FD3">
        <w:rPr>
          <w:rFonts w:asciiTheme="minorHAnsi" w:hAnsiTheme="minorHAnsi" w:cstheme="minorHAnsi"/>
          <w:spacing w:val="-5"/>
          <w:w w:val="85"/>
        </w:rPr>
        <w:t xml:space="preserve"> </w:t>
      </w:r>
      <w:r w:rsidRPr="00A40FD3">
        <w:rPr>
          <w:rFonts w:asciiTheme="minorHAnsi" w:hAnsiTheme="minorHAnsi" w:cstheme="minorHAnsi"/>
          <w:w w:val="85"/>
        </w:rPr>
        <w:t>et</w:t>
      </w:r>
      <w:r w:rsidRPr="00A40FD3">
        <w:rPr>
          <w:rFonts w:asciiTheme="minorHAnsi" w:hAnsiTheme="minorHAnsi" w:cstheme="minorHAnsi"/>
          <w:spacing w:val="-5"/>
          <w:w w:val="85"/>
        </w:rPr>
        <w:t xml:space="preserve"> </w:t>
      </w:r>
      <w:r w:rsidRPr="00A40FD3">
        <w:rPr>
          <w:rFonts w:asciiTheme="minorHAnsi" w:hAnsiTheme="minorHAnsi" w:cstheme="minorHAnsi"/>
          <w:w w:val="85"/>
        </w:rPr>
        <w:t>Perspectives</w:t>
      </w:r>
      <w:r w:rsidRPr="00A40FD3">
        <w:rPr>
          <w:rFonts w:asciiTheme="minorHAnsi" w:hAnsiTheme="minorHAnsi" w:cstheme="minorHAnsi"/>
          <w:spacing w:val="-5"/>
          <w:w w:val="85"/>
        </w:rPr>
        <w:t xml:space="preserve"> </w:t>
      </w:r>
      <w:r w:rsidRPr="00A40FD3">
        <w:rPr>
          <w:rFonts w:asciiTheme="minorHAnsi" w:hAnsiTheme="minorHAnsi" w:cstheme="minorHAnsi"/>
          <w:w w:val="85"/>
        </w:rPr>
        <w:t>de</w:t>
      </w:r>
      <w:r w:rsidRPr="00A40FD3">
        <w:rPr>
          <w:rFonts w:asciiTheme="minorHAnsi" w:hAnsiTheme="minorHAnsi" w:cstheme="minorHAnsi"/>
          <w:spacing w:val="-4"/>
          <w:w w:val="85"/>
        </w:rPr>
        <w:t xml:space="preserve"> </w:t>
      </w:r>
      <w:r w:rsidRPr="00A40FD3">
        <w:rPr>
          <w:rFonts w:asciiTheme="minorHAnsi" w:hAnsiTheme="minorHAnsi" w:cstheme="minorHAnsi"/>
          <w:w w:val="85"/>
        </w:rPr>
        <w:t>la</w:t>
      </w:r>
      <w:r w:rsidRPr="00A40FD3">
        <w:rPr>
          <w:rFonts w:asciiTheme="minorHAnsi" w:hAnsiTheme="minorHAnsi" w:cstheme="minorHAnsi"/>
          <w:spacing w:val="-5"/>
          <w:w w:val="85"/>
        </w:rPr>
        <w:t xml:space="preserve"> </w:t>
      </w:r>
      <w:r w:rsidRPr="00A40FD3">
        <w:rPr>
          <w:rFonts w:asciiTheme="minorHAnsi" w:hAnsiTheme="minorHAnsi" w:cstheme="minorHAnsi"/>
          <w:w w:val="85"/>
        </w:rPr>
        <w:t>filière</w:t>
      </w:r>
      <w:r w:rsidRPr="00A40FD3">
        <w:rPr>
          <w:rFonts w:asciiTheme="minorHAnsi" w:hAnsiTheme="minorHAnsi" w:cstheme="minorHAnsi"/>
          <w:spacing w:val="-5"/>
          <w:w w:val="85"/>
        </w:rPr>
        <w:t xml:space="preserve">   </w:t>
      </w:r>
      <w:r w:rsidRPr="00A40FD3">
        <w:rPr>
          <w:rFonts w:asciiTheme="minorHAnsi" w:hAnsiTheme="minorHAnsi" w:cstheme="minorHAnsi"/>
          <w:w w:val="85"/>
        </w:rPr>
        <w:t>aéronautique</w:t>
      </w:r>
      <w:r w:rsidRPr="00A40FD3">
        <w:rPr>
          <w:rFonts w:asciiTheme="minorHAnsi" w:hAnsiTheme="minorHAnsi" w:cstheme="minorHAnsi"/>
          <w:spacing w:val="-4"/>
          <w:w w:val="85"/>
        </w:rPr>
        <w:t xml:space="preserve"> </w:t>
      </w:r>
      <w:r w:rsidRPr="00A40FD3">
        <w:rPr>
          <w:rFonts w:asciiTheme="minorHAnsi" w:hAnsiTheme="minorHAnsi" w:cstheme="minorHAnsi"/>
          <w:spacing w:val="-2"/>
          <w:w w:val="85"/>
        </w:rPr>
        <w:t>Française</w:t>
      </w:r>
    </w:p>
    <w:p w14:paraId="021D769D" w14:textId="77777777" w:rsidR="002915D4" w:rsidRPr="002915D4" w:rsidRDefault="002915D4" w:rsidP="002915D4">
      <w:pPr>
        <w:pStyle w:val="ListParagraph"/>
        <w:rPr>
          <w:rFonts w:asciiTheme="minorHAnsi" w:hAnsiTheme="minorHAnsi" w:cstheme="minorHAnsi"/>
        </w:rPr>
      </w:pPr>
    </w:p>
    <w:p w14:paraId="389D3595" w14:textId="2A457C79" w:rsidR="002915D4" w:rsidRDefault="002915D4" w:rsidP="002915D4">
      <w:pPr>
        <w:pStyle w:val="ListParagraph"/>
        <w:numPr>
          <w:ilvl w:val="0"/>
          <w:numId w:val="1"/>
        </w:numPr>
        <w:spacing w:line="332" w:lineRule="exact"/>
        <w:ind w:left="360"/>
        <w:contextualSpacing w:val="0"/>
        <w:rPr>
          <w:rFonts w:asciiTheme="minorHAnsi" w:hAnsiTheme="minorHAnsi" w:cstheme="minorHAnsi"/>
        </w:rPr>
      </w:pPr>
      <w:r>
        <w:rPr>
          <w:rFonts w:asciiTheme="minorHAnsi" w:hAnsiTheme="minorHAnsi" w:cstheme="minorHAnsi"/>
        </w:rPr>
        <w:t xml:space="preserve">Frédérique Le </w:t>
      </w:r>
      <w:proofErr w:type="spellStart"/>
      <w:r>
        <w:rPr>
          <w:rFonts w:asciiTheme="minorHAnsi" w:hAnsiTheme="minorHAnsi" w:cstheme="minorHAnsi"/>
        </w:rPr>
        <w:t>Greves</w:t>
      </w:r>
      <w:proofErr w:type="spellEnd"/>
      <w:r>
        <w:rPr>
          <w:rFonts w:asciiTheme="minorHAnsi" w:hAnsiTheme="minorHAnsi" w:cstheme="minorHAnsi"/>
        </w:rPr>
        <w:t xml:space="preserve">, </w:t>
      </w:r>
      <w:proofErr w:type="spellStart"/>
      <w:r>
        <w:rPr>
          <w:rFonts w:asciiTheme="minorHAnsi" w:hAnsiTheme="minorHAnsi" w:cstheme="minorHAnsi"/>
        </w:rPr>
        <w:t>STMicroelectronique</w:t>
      </w:r>
      <w:proofErr w:type="spellEnd"/>
      <w:r>
        <w:rPr>
          <w:rFonts w:asciiTheme="minorHAnsi" w:hAnsiTheme="minorHAnsi" w:cstheme="minorHAnsi"/>
        </w:rPr>
        <w:t xml:space="preserve"> France, Exécutive Vice-Président, Europe &amp; France Public </w:t>
      </w:r>
      <w:proofErr w:type="spellStart"/>
      <w:r>
        <w:rPr>
          <w:rFonts w:asciiTheme="minorHAnsi" w:hAnsiTheme="minorHAnsi" w:cstheme="minorHAnsi"/>
        </w:rPr>
        <w:t>Affairs</w:t>
      </w:r>
      <w:proofErr w:type="spellEnd"/>
      <w:r>
        <w:rPr>
          <w:rFonts w:asciiTheme="minorHAnsi" w:hAnsiTheme="minorHAnsi" w:cstheme="minorHAnsi"/>
        </w:rPr>
        <w:t xml:space="preserve">, et Présidente du CSF Electronique et de la Fédération de l’Electronique Française a annoncé la concrétisation du lancement </w:t>
      </w:r>
      <w:r w:rsidR="00027968">
        <w:rPr>
          <w:rFonts w:asciiTheme="minorHAnsi" w:hAnsiTheme="minorHAnsi" w:cstheme="minorHAnsi"/>
        </w:rPr>
        <w:t xml:space="preserve">officiel de la </w:t>
      </w:r>
      <w:proofErr w:type="spellStart"/>
      <w:r w:rsidR="00027968">
        <w:rPr>
          <w:rFonts w:asciiTheme="minorHAnsi" w:hAnsiTheme="minorHAnsi" w:cstheme="minorHAnsi"/>
        </w:rPr>
        <w:t>FdEF</w:t>
      </w:r>
      <w:proofErr w:type="spellEnd"/>
      <w:r w:rsidR="00027968">
        <w:rPr>
          <w:rFonts w:asciiTheme="minorHAnsi" w:hAnsiTheme="minorHAnsi" w:cstheme="minorHAnsi"/>
        </w:rPr>
        <w:t xml:space="preserve"> par la signature, préalablement à la soirée des Trophées du SPDEI, du traité de fusion des 3 syndicats membres fondateurs, ACSIEL, SNESE et SPDEI au sein de la </w:t>
      </w:r>
      <w:proofErr w:type="spellStart"/>
      <w:r w:rsidR="00027968">
        <w:rPr>
          <w:rFonts w:asciiTheme="minorHAnsi" w:hAnsiTheme="minorHAnsi" w:cstheme="minorHAnsi"/>
        </w:rPr>
        <w:t>FdEF</w:t>
      </w:r>
      <w:proofErr w:type="spellEnd"/>
      <w:r w:rsidR="00027968">
        <w:rPr>
          <w:rFonts w:asciiTheme="minorHAnsi" w:hAnsiTheme="minorHAnsi" w:cstheme="minorHAnsi"/>
        </w:rPr>
        <w:t xml:space="preserve">. Frédérique le Greves a également rappelé l’historique de la création de la </w:t>
      </w:r>
      <w:proofErr w:type="spellStart"/>
      <w:r w:rsidR="00027968">
        <w:rPr>
          <w:rFonts w:asciiTheme="minorHAnsi" w:hAnsiTheme="minorHAnsi" w:cstheme="minorHAnsi"/>
        </w:rPr>
        <w:t>FdEF</w:t>
      </w:r>
      <w:proofErr w:type="spellEnd"/>
      <w:r w:rsidR="00027968">
        <w:rPr>
          <w:rFonts w:asciiTheme="minorHAnsi" w:hAnsiTheme="minorHAnsi" w:cstheme="minorHAnsi"/>
        </w:rPr>
        <w:t xml:space="preserve"> et exposé les objectifs futurs de cette nouvelle Fédération, et également présenté Laurence Dassas nouvellement nommée au poste de Déléguée Générale de la Fédération de l’Electronique Française</w:t>
      </w:r>
      <w:r w:rsidR="00C33820">
        <w:rPr>
          <w:rFonts w:asciiTheme="minorHAnsi" w:hAnsiTheme="minorHAnsi" w:cstheme="minorHAnsi"/>
        </w:rPr>
        <w:t>.</w:t>
      </w:r>
      <w:r w:rsidR="00027968">
        <w:rPr>
          <w:rFonts w:asciiTheme="minorHAnsi" w:hAnsiTheme="minorHAnsi" w:cstheme="minorHAnsi"/>
        </w:rPr>
        <w:t xml:space="preserve"> </w:t>
      </w:r>
    </w:p>
    <w:p w14:paraId="3C38445E" w14:textId="77777777" w:rsidR="00C33820" w:rsidRPr="00C33820" w:rsidRDefault="00C33820" w:rsidP="00C33820">
      <w:pPr>
        <w:pStyle w:val="ListParagraph"/>
        <w:rPr>
          <w:rFonts w:asciiTheme="minorHAnsi" w:hAnsiTheme="minorHAnsi" w:cstheme="minorHAnsi"/>
        </w:rPr>
      </w:pPr>
    </w:p>
    <w:p w14:paraId="6B01B98D" w14:textId="0E6829E4" w:rsidR="00C33820" w:rsidRPr="00A40FD3" w:rsidRDefault="00C33820" w:rsidP="002915D4">
      <w:pPr>
        <w:pStyle w:val="ListParagraph"/>
        <w:numPr>
          <w:ilvl w:val="0"/>
          <w:numId w:val="1"/>
        </w:numPr>
        <w:spacing w:line="332" w:lineRule="exact"/>
        <w:ind w:left="360"/>
        <w:contextualSpacing w:val="0"/>
        <w:rPr>
          <w:rFonts w:asciiTheme="minorHAnsi" w:hAnsiTheme="minorHAnsi" w:cstheme="minorHAnsi"/>
        </w:rPr>
      </w:pPr>
      <w:r>
        <w:rPr>
          <w:rFonts w:asciiTheme="minorHAnsi" w:hAnsiTheme="minorHAnsi" w:cstheme="minorHAnsi"/>
        </w:rPr>
        <w:t xml:space="preserve">Fabrice Lecordier, </w:t>
      </w:r>
      <w:r w:rsidR="00E86530">
        <w:rPr>
          <w:rFonts w:asciiTheme="minorHAnsi" w:hAnsiTheme="minorHAnsi" w:cstheme="minorHAnsi"/>
        </w:rPr>
        <w:t xml:space="preserve">RVP Western Europe TTI </w:t>
      </w:r>
      <w:proofErr w:type="spellStart"/>
      <w:r w:rsidR="00E86530">
        <w:rPr>
          <w:rFonts w:asciiTheme="minorHAnsi" w:hAnsiTheme="minorHAnsi" w:cstheme="minorHAnsi"/>
        </w:rPr>
        <w:t>Inc</w:t>
      </w:r>
      <w:proofErr w:type="spellEnd"/>
      <w:r w:rsidR="00E86530">
        <w:rPr>
          <w:rFonts w:asciiTheme="minorHAnsi" w:hAnsiTheme="minorHAnsi" w:cstheme="minorHAnsi"/>
        </w:rPr>
        <w:t xml:space="preserve">, Président du SPDEI, a conclu cette conférence en livrant les grandes tendances du marché de l’électronique au niveau, mondial, européen, et français. </w:t>
      </w:r>
      <w:r w:rsidR="003B7D24">
        <w:rPr>
          <w:rFonts w:asciiTheme="minorHAnsi" w:hAnsiTheme="minorHAnsi" w:cstheme="minorHAnsi"/>
        </w:rPr>
        <w:t>Les derniers mois de l</w:t>
      </w:r>
      <w:r w:rsidR="00E86530">
        <w:rPr>
          <w:rFonts w:asciiTheme="minorHAnsi" w:hAnsiTheme="minorHAnsi" w:cstheme="minorHAnsi"/>
        </w:rPr>
        <w:t>’année 202</w:t>
      </w:r>
      <w:r w:rsidR="003B7D24">
        <w:rPr>
          <w:rFonts w:asciiTheme="minorHAnsi" w:hAnsiTheme="minorHAnsi" w:cstheme="minorHAnsi"/>
        </w:rPr>
        <w:t xml:space="preserve">5 sont marqués par un </w:t>
      </w:r>
      <w:r w:rsidR="00EE054A">
        <w:rPr>
          <w:rFonts w:asciiTheme="minorHAnsi" w:hAnsiTheme="minorHAnsi" w:cstheme="minorHAnsi"/>
        </w:rPr>
        <w:t>léger</w:t>
      </w:r>
      <w:r w:rsidR="003B7D24">
        <w:rPr>
          <w:rFonts w:asciiTheme="minorHAnsi" w:hAnsiTheme="minorHAnsi" w:cstheme="minorHAnsi"/>
        </w:rPr>
        <w:t xml:space="preserve"> rebond de la demande au niveau Français et Européen. Les indices mensuels du rapport de la prise de commande par rapport à la facturation (B2B) sont neutres ou positifs sur plusieurs mois consécutifs, ce qui indique une amélioration du Marché. Cet indicateur était négatif depuis 2023. Toutes les familles de produits son </w:t>
      </w:r>
      <w:r w:rsidR="00EE054A">
        <w:rPr>
          <w:rFonts w:asciiTheme="minorHAnsi" w:hAnsiTheme="minorHAnsi" w:cstheme="minorHAnsi"/>
        </w:rPr>
        <w:t>positivement</w:t>
      </w:r>
      <w:r w:rsidR="003B7D24">
        <w:rPr>
          <w:rFonts w:asciiTheme="minorHAnsi" w:hAnsiTheme="minorHAnsi" w:cstheme="minorHAnsi"/>
        </w:rPr>
        <w:t xml:space="preserve"> orienté</w:t>
      </w:r>
      <w:r w:rsidR="00EE054A">
        <w:rPr>
          <w:rFonts w:asciiTheme="minorHAnsi" w:hAnsiTheme="minorHAnsi" w:cstheme="minorHAnsi"/>
        </w:rPr>
        <w:t>es</w:t>
      </w:r>
      <w:r w:rsidR="003B7D24">
        <w:rPr>
          <w:rFonts w:asciiTheme="minorHAnsi" w:hAnsiTheme="minorHAnsi" w:cstheme="minorHAnsi"/>
        </w:rPr>
        <w:t xml:space="preserve">, </w:t>
      </w:r>
      <w:r w:rsidR="00EE054A">
        <w:rPr>
          <w:rFonts w:asciiTheme="minorHAnsi" w:hAnsiTheme="minorHAnsi" w:cstheme="minorHAnsi"/>
        </w:rPr>
        <w:t>avec</w:t>
      </w:r>
      <w:r w:rsidR="003B7D24">
        <w:rPr>
          <w:rFonts w:asciiTheme="minorHAnsi" w:hAnsiTheme="minorHAnsi" w:cstheme="minorHAnsi"/>
        </w:rPr>
        <w:t xml:space="preserve"> un plus fort rebond </w:t>
      </w:r>
      <w:r w:rsidR="00EE054A">
        <w:rPr>
          <w:rFonts w:asciiTheme="minorHAnsi" w:hAnsiTheme="minorHAnsi" w:cstheme="minorHAnsi"/>
        </w:rPr>
        <w:t>du</w:t>
      </w:r>
      <w:r w:rsidR="003B7D24">
        <w:rPr>
          <w:rFonts w:asciiTheme="minorHAnsi" w:hAnsiTheme="minorHAnsi" w:cstheme="minorHAnsi"/>
        </w:rPr>
        <w:t xml:space="preserve"> marché du </w:t>
      </w:r>
      <w:r w:rsidR="00EE054A">
        <w:rPr>
          <w:rFonts w:asciiTheme="minorHAnsi" w:hAnsiTheme="minorHAnsi" w:cstheme="minorHAnsi"/>
        </w:rPr>
        <w:t>S</w:t>
      </w:r>
      <w:r w:rsidR="003B7D24">
        <w:rPr>
          <w:rFonts w:asciiTheme="minorHAnsi" w:hAnsiTheme="minorHAnsi" w:cstheme="minorHAnsi"/>
        </w:rPr>
        <w:t>emiconducteur. Pour 2026</w:t>
      </w:r>
      <w:r w:rsidR="00E86530">
        <w:rPr>
          <w:rFonts w:asciiTheme="minorHAnsi" w:hAnsiTheme="minorHAnsi" w:cstheme="minorHAnsi"/>
        </w:rPr>
        <w:t xml:space="preserve"> les tendances </w:t>
      </w:r>
      <w:r w:rsidR="00EE054A">
        <w:rPr>
          <w:rFonts w:asciiTheme="minorHAnsi" w:hAnsiTheme="minorHAnsi" w:cstheme="minorHAnsi"/>
        </w:rPr>
        <w:t>mondiales</w:t>
      </w:r>
      <w:r w:rsidR="00EE054A">
        <w:rPr>
          <w:rFonts w:asciiTheme="minorHAnsi" w:hAnsiTheme="minorHAnsi" w:cstheme="minorHAnsi"/>
        </w:rPr>
        <w:t xml:space="preserve"> </w:t>
      </w:r>
      <w:r w:rsidR="003B7D24">
        <w:rPr>
          <w:rFonts w:asciiTheme="minorHAnsi" w:hAnsiTheme="minorHAnsi" w:cstheme="minorHAnsi"/>
        </w:rPr>
        <w:t xml:space="preserve">semblent également bien orientées. La demande est plus forte en Asie et aux USA, tirés par un marché de l’Intelligence Artificielle en plein essor. La situation en Europe est plus contrastée avec un marché Automobile en pleine mutation et un marché industriel </w:t>
      </w:r>
      <w:r w:rsidR="00EE054A">
        <w:rPr>
          <w:rFonts w:asciiTheme="minorHAnsi" w:hAnsiTheme="minorHAnsi" w:cstheme="minorHAnsi"/>
        </w:rPr>
        <w:t xml:space="preserve">toujours </w:t>
      </w:r>
      <w:r w:rsidR="00EE054A">
        <w:rPr>
          <w:rFonts w:asciiTheme="minorHAnsi" w:hAnsiTheme="minorHAnsi" w:cstheme="minorHAnsi"/>
        </w:rPr>
        <w:lastRenderedPageBreak/>
        <w:t>hésitant. Seuls les marchés du Militaire, de l’Aéronautique et du Spatial continuent à progresser sur l’ensemble des pays Européens.</w:t>
      </w:r>
    </w:p>
    <w:p w14:paraId="72FCCD7B" w14:textId="77777777" w:rsidR="002915D4" w:rsidRPr="00A40FD3" w:rsidRDefault="002915D4" w:rsidP="002915D4">
      <w:pPr>
        <w:pStyle w:val="BodyText"/>
        <w:rPr>
          <w:rFonts w:asciiTheme="minorHAnsi" w:hAnsiTheme="minorHAnsi" w:cstheme="minorHAnsi"/>
          <w:sz w:val="22"/>
          <w:szCs w:val="22"/>
        </w:rPr>
      </w:pPr>
    </w:p>
    <w:p w14:paraId="236DF71A" w14:textId="0B3DC000" w:rsidR="002915D4" w:rsidRDefault="002915D4" w:rsidP="00C33820"/>
    <w:p w14:paraId="460AF4CF" w14:textId="77777777" w:rsidR="00E86530" w:rsidRDefault="00E86530" w:rsidP="00C33820"/>
    <w:p w14:paraId="1D828C0F" w14:textId="77777777" w:rsidR="00E86530" w:rsidRPr="00E86530" w:rsidRDefault="00E86530" w:rsidP="00C33820">
      <w:pPr>
        <w:rPr>
          <w:u w:val="single"/>
        </w:rPr>
      </w:pPr>
    </w:p>
    <w:p w14:paraId="28FE84EB" w14:textId="77802F2E" w:rsidR="00E86530" w:rsidRPr="00E86530" w:rsidRDefault="00E86530" w:rsidP="00C33820">
      <w:pPr>
        <w:rPr>
          <w:u w:val="single"/>
        </w:rPr>
      </w:pPr>
      <w:r w:rsidRPr="00E86530">
        <w:rPr>
          <w:u w:val="single"/>
        </w:rPr>
        <w:t>Lien avec les photos</w:t>
      </w:r>
    </w:p>
    <w:p w14:paraId="6C885E87" w14:textId="55BBB8FA" w:rsidR="00E86530" w:rsidRPr="00E86530" w:rsidRDefault="00E86530" w:rsidP="00C33820">
      <w:pPr>
        <w:rPr>
          <w:u w:val="single"/>
        </w:rPr>
      </w:pPr>
      <w:r w:rsidRPr="00E86530">
        <w:rPr>
          <w:u w:val="single"/>
        </w:rPr>
        <w:t>Lien avec le communiqué de presse annonçant la nomination de Laurence Dassas au poste de Déléguée Générale de la Fédération</w:t>
      </w:r>
    </w:p>
    <w:sectPr w:rsidR="00E86530" w:rsidRPr="00E86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7E6B"/>
    <w:multiLevelType w:val="hybridMultilevel"/>
    <w:tmpl w:val="A1A0F8A4"/>
    <w:lvl w:ilvl="0" w:tplc="C2107EAA">
      <w:numFmt w:val="bullet"/>
      <w:lvlText w:val="-"/>
      <w:lvlJc w:val="left"/>
      <w:pPr>
        <w:ind w:left="1274" w:hanging="360"/>
      </w:pPr>
      <w:rPr>
        <w:rFonts w:ascii="Century Gothic" w:eastAsia="Century Gothic" w:hAnsi="Century Gothic" w:cs="Century Gothic" w:hint="default"/>
        <w:i w:val="0"/>
        <w:w w:val="100"/>
      </w:rPr>
    </w:lvl>
    <w:lvl w:ilvl="1" w:tplc="040C0003">
      <w:start w:val="1"/>
      <w:numFmt w:val="bullet"/>
      <w:lvlText w:val="o"/>
      <w:lvlJc w:val="left"/>
      <w:pPr>
        <w:ind w:left="1994" w:hanging="360"/>
      </w:pPr>
      <w:rPr>
        <w:rFonts w:ascii="Courier New" w:hAnsi="Courier New" w:cs="Courier New" w:hint="default"/>
      </w:rPr>
    </w:lvl>
    <w:lvl w:ilvl="2" w:tplc="040C0005" w:tentative="1">
      <w:start w:val="1"/>
      <w:numFmt w:val="bullet"/>
      <w:lvlText w:val=""/>
      <w:lvlJc w:val="left"/>
      <w:pPr>
        <w:ind w:left="2714" w:hanging="360"/>
      </w:pPr>
      <w:rPr>
        <w:rFonts w:ascii="Wingdings" w:hAnsi="Wingdings" w:hint="default"/>
      </w:rPr>
    </w:lvl>
    <w:lvl w:ilvl="3" w:tplc="040C0001" w:tentative="1">
      <w:start w:val="1"/>
      <w:numFmt w:val="bullet"/>
      <w:lvlText w:val=""/>
      <w:lvlJc w:val="left"/>
      <w:pPr>
        <w:ind w:left="3434" w:hanging="360"/>
      </w:pPr>
      <w:rPr>
        <w:rFonts w:ascii="Symbol" w:hAnsi="Symbol" w:hint="default"/>
      </w:rPr>
    </w:lvl>
    <w:lvl w:ilvl="4" w:tplc="040C0003" w:tentative="1">
      <w:start w:val="1"/>
      <w:numFmt w:val="bullet"/>
      <w:lvlText w:val="o"/>
      <w:lvlJc w:val="left"/>
      <w:pPr>
        <w:ind w:left="4154" w:hanging="360"/>
      </w:pPr>
      <w:rPr>
        <w:rFonts w:ascii="Courier New" w:hAnsi="Courier New" w:cs="Courier New" w:hint="default"/>
      </w:rPr>
    </w:lvl>
    <w:lvl w:ilvl="5" w:tplc="040C0005" w:tentative="1">
      <w:start w:val="1"/>
      <w:numFmt w:val="bullet"/>
      <w:lvlText w:val=""/>
      <w:lvlJc w:val="left"/>
      <w:pPr>
        <w:ind w:left="4874" w:hanging="360"/>
      </w:pPr>
      <w:rPr>
        <w:rFonts w:ascii="Wingdings" w:hAnsi="Wingdings" w:hint="default"/>
      </w:rPr>
    </w:lvl>
    <w:lvl w:ilvl="6" w:tplc="040C0001" w:tentative="1">
      <w:start w:val="1"/>
      <w:numFmt w:val="bullet"/>
      <w:lvlText w:val=""/>
      <w:lvlJc w:val="left"/>
      <w:pPr>
        <w:ind w:left="5594" w:hanging="360"/>
      </w:pPr>
      <w:rPr>
        <w:rFonts w:ascii="Symbol" w:hAnsi="Symbol" w:hint="default"/>
      </w:rPr>
    </w:lvl>
    <w:lvl w:ilvl="7" w:tplc="040C0003" w:tentative="1">
      <w:start w:val="1"/>
      <w:numFmt w:val="bullet"/>
      <w:lvlText w:val="o"/>
      <w:lvlJc w:val="left"/>
      <w:pPr>
        <w:ind w:left="6314" w:hanging="360"/>
      </w:pPr>
      <w:rPr>
        <w:rFonts w:ascii="Courier New" w:hAnsi="Courier New" w:cs="Courier New" w:hint="default"/>
      </w:rPr>
    </w:lvl>
    <w:lvl w:ilvl="8" w:tplc="040C0005" w:tentative="1">
      <w:start w:val="1"/>
      <w:numFmt w:val="bullet"/>
      <w:lvlText w:val=""/>
      <w:lvlJc w:val="left"/>
      <w:pPr>
        <w:ind w:left="7034" w:hanging="360"/>
      </w:pPr>
      <w:rPr>
        <w:rFonts w:ascii="Wingdings" w:hAnsi="Wingdings" w:hint="default"/>
      </w:rPr>
    </w:lvl>
  </w:abstractNum>
  <w:num w:numId="1" w16cid:durableId="67492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D4"/>
    <w:rsid w:val="00027968"/>
    <w:rsid w:val="00284533"/>
    <w:rsid w:val="002915D4"/>
    <w:rsid w:val="003B7D24"/>
    <w:rsid w:val="0072719B"/>
    <w:rsid w:val="00AE3BD9"/>
    <w:rsid w:val="00C33820"/>
    <w:rsid w:val="00C62E6B"/>
    <w:rsid w:val="00D7096A"/>
    <w:rsid w:val="00E86530"/>
    <w:rsid w:val="00EE0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9197"/>
  <w15:chartTrackingRefBased/>
  <w15:docId w15:val="{ABE2AAAC-7669-4DF4-8B60-1AC3AE02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D4"/>
    <w:pPr>
      <w:widowControl w:val="0"/>
      <w:autoSpaceDE w:val="0"/>
      <w:autoSpaceDN w:val="0"/>
      <w:spacing w:after="0" w:line="240" w:lineRule="auto"/>
    </w:pPr>
    <w:rPr>
      <w:rFonts w:ascii="Century Gothic" w:eastAsia="Century Gothic" w:hAnsi="Century Gothic" w:cs="Century Gothic"/>
      <w:kern w:val="0"/>
      <w:sz w:val="22"/>
      <w:szCs w:val="22"/>
      <w14:ligatures w14:val="none"/>
    </w:rPr>
  </w:style>
  <w:style w:type="paragraph" w:styleId="Heading1">
    <w:name w:val="heading 1"/>
    <w:basedOn w:val="Normal"/>
    <w:next w:val="Normal"/>
    <w:link w:val="Heading1Char"/>
    <w:uiPriority w:val="9"/>
    <w:qFormat/>
    <w:rsid w:val="00291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1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5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5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5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5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5D4"/>
    <w:rPr>
      <w:rFonts w:eastAsiaTheme="majorEastAsia" w:cstheme="majorBidi"/>
      <w:color w:val="272727" w:themeColor="text1" w:themeTint="D8"/>
    </w:rPr>
  </w:style>
  <w:style w:type="paragraph" w:styleId="Title">
    <w:name w:val="Title"/>
    <w:basedOn w:val="Normal"/>
    <w:next w:val="Normal"/>
    <w:link w:val="TitleChar"/>
    <w:uiPriority w:val="10"/>
    <w:qFormat/>
    <w:rsid w:val="002915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5D4"/>
    <w:pPr>
      <w:spacing w:before="160"/>
      <w:jc w:val="center"/>
    </w:pPr>
    <w:rPr>
      <w:i/>
      <w:iCs/>
      <w:color w:val="404040" w:themeColor="text1" w:themeTint="BF"/>
    </w:rPr>
  </w:style>
  <w:style w:type="character" w:customStyle="1" w:styleId="QuoteChar">
    <w:name w:val="Quote Char"/>
    <w:basedOn w:val="DefaultParagraphFont"/>
    <w:link w:val="Quote"/>
    <w:uiPriority w:val="29"/>
    <w:rsid w:val="002915D4"/>
    <w:rPr>
      <w:i/>
      <w:iCs/>
      <w:color w:val="404040" w:themeColor="text1" w:themeTint="BF"/>
    </w:rPr>
  </w:style>
  <w:style w:type="paragraph" w:styleId="ListParagraph">
    <w:name w:val="List Paragraph"/>
    <w:basedOn w:val="Normal"/>
    <w:uiPriority w:val="1"/>
    <w:qFormat/>
    <w:rsid w:val="002915D4"/>
    <w:pPr>
      <w:ind w:left="720"/>
      <w:contextualSpacing/>
    </w:pPr>
  </w:style>
  <w:style w:type="character" w:styleId="IntenseEmphasis">
    <w:name w:val="Intense Emphasis"/>
    <w:basedOn w:val="DefaultParagraphFont"/>
    <w:uiPriority w:val="21"/>
    <w:qFormat/>
    <w:rsid w:val="002915D4"/>
    <w:rPr>
      <w:i/>
      <w:iCs/>
      <w:color w:val="0F4761" w:themeColor="accent1" w:themeShade="BF"/>
    </w:rPr>
  </w:style>
  <w:style w:type="paragraph" w:styleId="IntenseQuote">
    <w:name w:val="Intense Quote"/>
    <w:basedOn w:val="Normal"/>
    <w:next w:val="Normal"/>
    <w:link w:val="IntenseQuoteChar"/>
    <w:uiPriority w:val="30"/>
    <w:qFormat/>
    <w:rsid w:val="00291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5D4"/>
    <w:rPr>
      <w:i/>
      <w:iCs/>
      <w:color w:val="0F4761" w:themeColor="accent1" w:themeShade="BF"/>
    </w:rPr>
  </w:style>
  <w:style w:type="character" w:styleId="IntenseReference">
    <w:name w:val="Intense Reference"/>
    <w:basedOn w:val="DefaultParagraphFont"/>
    <w:uiPriority w:val="32"/>
    <w:qFormat/>
    <w:rsid w:val="002915D4"/>
    <w:rPr>
      <w:b/>
      <w:bCs/>
      <w:smallCaps/>
      <w:color w:val="0F4761" w:themeColor="accent1" w:themeShade="BF"/>
      <w:spacing w:val="5"/>
    </w:rPr>
  </w:style>
  <w:style w:type="paragraph" w:styleId="BodyText">
    <w:name w:val="Body Text"/>
    <w:basedOn w:val="Normal"/>
    <w:link w:val="BodyTextChar"/>
    <w:uiPriority w:val="1"/>
    <w:qFormat/>
    <w:rsid w:val="002915D4"/>
    <w:rPr>
      <w:sz w:val="20"/>
      <w:szCs w:val="20"/>
    </w:rPr>
  </w:style>
  <w:style w:type="character" w:customStyle="1" w:styleId="BodyTextChar">
    <w:name w:val="Body Text Char"/>
    <w:basedOn w:val="DefaultParagraphFont"/>
    <w:link w:val="BodyText"/>
    <w:uiPriority w:val="1"/>
    <w:rsid w:val="002915D4"/>
    <w:rPr>
      <w:rFonts w:ascii="Century Gothic" w:eastAsia="Century Gothic" w:hAnsi="Century Gothic" w:cs="Century Gothic"/>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75bb1c1-53ea-4223-92f0-a7c5320e67e1}" enabled="1" method="Standard" siteId="{35502470-9234-4977-8142-ae170193ecc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2729</Characters>
  <Application>Microsoft Office Word</Application>
  <DocSecurity>4</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Gorrec</dc:creator>
  <cp:keywords/>
  <dc:description/>
  <cp:lastModifiedBy>Lecordier, Fabrice</cp:lastModifiedBy>
  <cp:revision>2</cp:revision>
  <dcterms:created xsi:type="dcterms:W3CDTF">2025-12-15T11:05:00Z</dcterms:created>
  <dcterms:modified xsi:type="dcterms:W3CDTF">2025-12-15T11:05:00Z</dcterms:modified>
</cp:coreProperties>
</file>